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332 vom 12. November 1986</w:t>
      </w:r>
    </w:p>
    <w:p>
      <w:r>
        <w:t>Bundesgericht (BGE), 1986-11-12, DE</w:t>
      </w:r>
    </w:p>
    <w:p>
      <w:r>
        <w:rPr>
          <w:b/>
        </w:rPr>
        <w:t xml:space="preserve">Quelle: </w:t>
      </w:r>
      <w:r>
        <w:t>https://mcp.opencaselaw.ch/entscheid/bge_112 IA 332</w:t>
      </w:r>
    </w:p>
    <w:p>
      <w:r>
        <w:t>FR: BGE 112 IA 332 du 12 novembre 1986</w:t>
      </w:r>
    </w:p>
    <w:p>
      <w:r>
        <w:t>IT: BGE 112 IA 332 del 12 novembre 1986</w:t>
      </w:r>
    </w:p>
    <w:p>
      <w:pPr>
        <w:pStyle w:val="Heading2"/>
      </w:pPr>
      <w:r>
        <w:t>Regeste</w:t>
      </w:r>
    </w:p>
    <w:p>
      <w:r>
        <w:t>Regeste Stimmrecht. Behördliche Intervention in den Abstimmungskampf. Die Veröffentlichung einer Informationsseite über Abstimmungsvorlagen in zwei Zeitungen durch den Regierungsrat verletzt mangels triftiger Gründe das politische Stimmrecht der Bürger (E. 4). Die Volksabstimmungen brauchen indessen dann nicht aufgehoben zu werden, wenn ohne behördliche Intervention ein anderes Abstimmungsergebnis nicht ernsthaft in Betracht gekommen wäre (E. 5).</w:t>
      </w:r>
    </w:p>
    <w:p>
      <w:pPr>
        <w:pStyle w:val="Heading2"/>
      </w:pPr>
      <w:r>
        <w:t>Erwägungen</w:t>
      </w:r>
    </w:p>
    <w:p>
      <w:r>
        <w:rPr>
          <w:b/>
        </w:rPr>
        <w:t>E. 4</w:t>
      </w:r>
    </w:p>
    <w:p>
      <w:r>
        <w:t>In materieller Hinsicht werfen die Beschwerdeführer dem Regierungsrat vor, mit der Veröffentlichung der Informationsseite in zwei Urner Zeitungen die Abstimmungsfreiheit verletzt zu haben. Dadurch habe der Rat ohne gesetzliche Grundlage in den Abstimmungskampf eingegriffen, die Vorschrift von Art. 31 Abs. 1 WAVG missachtet und sich verwerflicher Mittel bedient. a) Bei Stimmrechtsbeschwerden ist nicht nur die Auslegung und Anwendung von Bundesrecht und kantonalem Verfassungsrecht frei zu prüfen, sondern auch diejenige anderer kantonaler Vorschriften, die den Inhalt des Stimm- und Wahlrechts regeln oder mit diesen eng zusammenhängen. Die Auslegung und Anwendung anderer kantonaler Normen sowie die Feststellung des Sachverhalts durch die kantonalen Behörden ist dagegen nur auf Willkür hin zu prüfen. In ausgesprochenen Zweifelsfällen schliesst sich das Bundesgericht der von der obersten kantonalen Instanz BGE 112 Ia 332 S. 335 vertretenen Auffassung an; als solche gelten das Parlament und das Volk ( BGE 111 Ia 117 /118 E. 2a, 194 E. 4a, 197 E. 2a, 202 E. 2; 109 Ia 47 E. 3b mit Hinweisen). b) Das vom Verfassungsrecht des Bundes gewährleistete politische Stimmrecht gibt dem Bürger unter anderem Anspruch darauf, dass kein Abstimmungsergebnis anerkannt wird, das nicht den freien Willen der Stimmbürger zuverlässig und unverfälscht zum Ausdruck bringt. Das Abstimmungsergebnis kann namentlich durch eine unerlaubte Beeinflussung der Willensbildung der Stimmbürger verfälscht werden. Das ist etwa der Fall, wenn die Behörde, die zu einer Sachabstimmung amtliche Erläuterungen verfasst, ihre Pflicht zu objektiver Information verletzt und über den Zweck und die Tragweite der Vorlage falsch orientiert. Eine unerlaubte Beeinflussung der Stimmbürger kann ferner vorliegen, wenn die Behörde in unzulässiger Weise in den Abstimmungskampf eingreift und entweder positive, zur Sicherung der Freiheit der Stimmbürger aufgestellte Vorschriften missachtet oder sich sonstwie verwerflicher Mittel bedient ( BGE 108 Ia 157 E. 3b; BGE 106 Ia 22 E. 1, 199 E. 4a; BGE 105 Ia 153 E. 3a; BGE 89 I 443 E. 5). c) Nach dieser Rechtsprechung schliesst die Freiheit der Meinungsbildung jedes Eingreifen der Behörden in einen Wahlkampf aus. Vor Sachabstimmungen müssen sich die Auseinandersetzungen gleichfalls frei und unbeeinflusst abspielen können (Urteil des Bundesgerichts vom 8. Juli 1964 i.S. Beuttner, E. 2, in: ZBl 66/1965, S. 247). Indessen gilt es nach schweizerischer Rechtsauffassung als zulässig, dass eine Behörde ihre Sachvorlagen den Stimmberechtigten zur Annahme empfiehlt und Erläuterungen oder Berichte dazu beilegt ( BGE 89 I 443 /444 E. 6). Diese Beschränkungen gelten jedoch nur für die Behörden als solche; dem einzelnen Behördemitglied kann weder die Teilnahme am Wahl- und Abstimmungskampf noch die freie Meinungsäusserung verboten werden ( BGE 89 I 444 E. 6 mit Hinweisen). Eine andere Frage ist jedoch, ob und allenfalls inwieweit die Behörden in den Abstimmungskampf über eigene Abstimmungsvorlagen eingreifen dürfen. Das ist im folgenden zu prüfen. d) In der Literatur wird eine Intervention der Behörden im Abstimmungskampf über ihre eigenen Abstimmungsvorlagen mehrheitlich abgelehnt oder nur in Ausnahmefällen befürwortet. Dagegen ausgesprochen haben sich unter anderem THEODOR BÜHLER (Ist eine amtliche Stellungnahme bei Abstimmungen erwünscht?, in: ZBl 72/1971, S. 528/529), MARTIN USTERI BGE 112 Ia 332 S. 336 (Ausübung des Stimm- und Wahlrechts nach freiheitsstaatlichen Prinzipien, in: ZSR 78/1959 II, S. 419a), PETER SALADIN (Bemerkungen zur schweizerischen Rechtsprechung des Jahres 1965, in: ZSR 85/1966 I, S. 461/462) und LUCAS DAVID (Schweizerisches Werberecht, Zürich 1977, S. 351 ff.). Andere Autoren erachten ein behördliches Eingreifen nur dann als zulässig, wenn die Umstände eine Intervention der Behörden dringend nahelegen oder gebieterisch verlangen beziehungsweise wenn krasse Fehler richtiggestellt werden müssen. Es sind dies WERNER STAUFFACHER (Die Stellung der Behörden im Wahl- und Abstimmungskampf, in: ZBl 68/1967, S. 387, 391/392), ULRICH WEDER (Die innenpolitische Neutralität des Staates. Ihre Bedeutung in der Schweiz. Diss. Zürich 1981, S. 68 ff.) und JEAN-FRANÇOIS AUBERT (Traité de droit constitutionnel suisse, Neuchâtel 1967, Bd. 2, Ziff. 1218, S. 448). Eine dritte Gruppe verlangt, dass der Grundsatz der Verhältnismässigkeit gewahrt werden müsse. Dazu gehören ANDREAS AUER (L'intervention des collectivités publiques dans les campagnes référendaires, in: RDAF 41/1985, S. 203) und ETIENNE GRISEL (L'information des citoyens avant les votations, in: Festschrift zum 70. Geburtstag von Hans Nef, Zürich 1981, S. 64). Das Bundesgericht hat in seiner Rechtsprechung eine solche Intervention der Behörden im Abstimmungskampf über eigene Vorlagen nur als Ausnahme zugelassen. Danach soll behördliches Eingreifen - soweit es nicht in der Abgabe eines beleuchtenden Berichts an die Stimmbürger besteht - nicht zur Regel werden, sondern sich auf jene Fälle beschränken, in denen triftige Gründe für ein Tätigwerden der Behörden sprechen (in der amtlichen Sammlung nicht veröffentlichte E. 3 des Urteils BGE 105 Ia 243 ff., publiziert in: ZBl 81/1980, S. 21; unveröffentlichte Urteile vom 24. November 1982 i.S. Pfenninger, E. 3, und vom 20. November 1985 i.S. Ausfeld, E. 2b/aa). Diese Rechtsprechung wurde in Fällen begründet, wo es um die Intervention einer Gemeinde in einen kantonalen Abstimmungskampf ging. Dabei wies das Bundesgericht allerdings auf die Literatur zur Frage der Parteinahme von Behörden des Gemeinwesens hin, das die Abstimmung selbst durchgeführt hat. Es hatte dabei angenommen, dass triftige Gründe dann vorliegen, wenn eine Gemeinde und ihre Stimmbürger am Ausgang der Abstimmung ein unmittelbares und besonderes Interesse haben, das jenes der übrigen Gemeinden des Kantons bei weitem übersteigt ( BGE 108 Ia 160 /161 E. 5a; BGE 105 Ia 244 E. 4). Allerdings stellt sich die Frage nach dem Vorliegen triftiger Gründe BGE 112 Ia 332 S. 337 dort anders, wo es um die Parteinahme von Behörden des Gemeinwesens geht, das die Abstimmung selbst durchführt (vgl. BGE 108 Ia 159 E. 4b). Im erwähnten Urteil vom 24. November 1982 i.S. Pfenninger hat das Bundesgericht eine Plakataktion der Behörden noch als Information gewertet und darin im Gegensatz zur Propaganda keine unzulässige Beeinflussung des Stimmbürgers gesehen. Angesichts der Komplexität des Abstimmungsgegenstandes hat es auch das Vorliegen wichtiger Gründe für eine Zusatzinformation angenommen. Im ebenfalls erwähnten Urteil vom 20. November 1985 i.S. Ausfeld hat das Bundesgericht triftige Gründe für die nochmalige Veröffentlichung eines Teils der Abstimmungszeitung deshalb als gegeben anerkannt, weil sich die Abstimmungszeitung noch mit einem dahingefallenen Gegenvorschlag befasst hatte. Die ursprüngliche Begründung des Elements der triftigen Gründe stützte sich auf die Lehrmeinung, die sich kritisch bis ablehnend zur Frage der Intervention von Behörden im Abstimmungskampf über eigene Vorlagen stellt, namentlich auf WERNER STAUFFACHER (a.a.O., S. 392; unveröffentlichte E. 3 des Urteils BGE 105 Ia 243 ff., publiziert in: ZBl 81/1980, S. 21, bestätigt in BGE 108 Ia 157 /158 E. 3b). Nach der Auffassung dieses Autors können triftige Gründe für eine behördliche Intervention dann vorliegen, wenn es darum geht, krassen Verzerrungen und Verfälschungen in der Abstimmungspropaganda entgegenzutreten oder grobe Fehler richtigzustellen, mithin eine freie und unverfälschte Meinungsbildung zu gewährleisten. Kein triftiger Grund kann in der Absicht gesehen werden, die Stimmbürger zur Annahme einer Abstimmungsvorlage zu bewegen (vgl. WERNER STAUFFACHER, a.a.O., S. 392). Im vorliegenden Fall sind keine solchen triftigen Gründe ersichtlich, welche die Veröffentlichung der streitigen Informationsseite in den beiden Urner Zeitungen eine Woche vor dem Urnengang zu rechtfertigen vermöchten. Das Bestreben des Regierungsrates, die Stimmberechtigten in augenfälliger Form für die Abstimmungsvorlagen zu interessieren, ist freilich anerkennenswert; doch kann es nicht als triftiger Grund für eine nur ausnahmsweise zulässige Intervention anerkannt werden. Dem Anliegen, die Stimmberechtigten besser anzusprechen, kann ohne weiteres dadurch nachgelebt werden, dass die Abstimmungsbotschaften leserfreundlicher gestaltet werden, was der Regierungsrat denn auch inskünftig zu tun beabsichtigt. Ebenfalls nicht als triftiger Grund kann die Tatsache in Frage kommen, dass ein Kredit für den BGE 112 Ia 332 S. 338 Umbau des Coop-Gebäudes in Altdorf in einer früheren Volksabstimmung verweigert worden war. Die Veröffentlichung der Informationsseite war somit mangels eines triftigen Grundes mit dem politischen Stimmrecht der Bürger nicht vereinbar. e) Erweist sich die streitige Intervention schon mangels eines triftigen Grundes als unzulässig, so kann die Frage offenbleiben, ob sie auch mangels gesetzlicher Grundlage oder wegen Unvereinbarkeit mit Art. 30 Abs. 2 WAVG das politische Stimmrecht verletzt.</w:t>
      </w:r>
    </w:p>
    <w:p>
      <w:r>
        <w:rPr>
          <w:b/>
        </w:rPr>
        <w:t>E. 5</w:t>
      </w:r>
    </w:p>
    <w:p>
      <w:r>
        <w:t>Zu prüfen bleibt, welche Folgen der unzulässigen Veröffentlichung der Informationsseite zu geben sind. Die Auswirkungen der beanstandeten Publikation lassen sich freilich nicht ziffernmässig ermitteln. Das bedeutet indessen nicht, dass der Mangel schon deswegen als erheblich zu erachten und die Abstimmungen aufzuheben seien. Vielmehr ist nach den gesamten Umständen zu beurteilen, ob eine Beeinflussung des Abstimmungsergebnisses möglich gewesen ist. Dabei ist namentlich auf die Grösse des Stimmenunterschieds, die Schwere des festgestellten Mangels und dessen Bedeutung im Rahmen der gesamten Abstimmung abzustellen. Erscheint die Möglichkeit, dass die Abstimmung ohne den Mangel anders ausgefallen wäre, als derart gering, dass sie nicht mehr ernsthaft in Betracht kommt, so kann von der Aufhebung des Urnengangs abgesehen werden ( BGE 105 Ia 155 E. 5b). Alle drei Abstimmungsvorlagen sind mit grossem Mehr angenommen worden; die Ja-Stimmen machen ein Vielfaches der Nein-Stimmen aus. Die beanstandete Veröffentlichung der Informationsseite stellt einen verhältnismässig geringen Mangel dar. Es handelt sich im wesentlichen um denselben Inhalt, wie ihn die amtlichen Erläuterungen aufweisen, die an alle Haushaltungen verteilt wurden. Die Besonderheit besteht lediglich darin, dass die Informationsseite in journalistischem Stil und damit augenfälliger gestaltet ist. Sie ist aber informativ und keineswegs aufdringlich gehalten. Schliesslich kann auch nicht gesagt werden, dass die Bedeutung dieser Veröffentlichung überragend gewesen wäre. Unter diesen Umständen erscheint die Möglichkeit, dass ohne die umstrittene Intervention des Regierungsrates die Abstimmungsergebnisse anders ausgefallen wären, als derart gering, dass sie nicht ernsthaft in Betracht kommt. Von einer Aufhebung der Abstimmungen ist daher abzusehen, und die Beschwerde ist abzuweisen, soweit sie nicht gegenstandslos geworden ist und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